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96" w:rsidRPr="00447596" w:rsidRDefault="00447596" w:rsidP="00447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О</w:t>
      </w:r>
      <w:r w:rsidRPr="00447596">
        <w:rPr>
          <w:rFonts w:ascii="Times New Roman" w:hAnsi="Times New Roman" w:cs="Times New Roman"/>
          <w:color w:val="555555"/>
          <w:sz w:val="28"/>
          <w:szCs w:val="28"/>
        </w:rPr>
        <w:t>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на 2015 год</w:t>
      </w:r>
      <w:r w:rsidRPr="00447596">
        <w:rPr>
          <w:rFonts w:ascii="Times New Roman" w:hAnsi="Times New Roman" w:cs="Times New Roman"/>
          <w:color w:val="555555"/>
          <w:sz w:val="28"/>
          <w:szCs w:val="28"/>
        </w:rPr>
        <w:t>:</w:t>
      </w:r>
    </w:p>
    <w:p w:rsidR="00447596" w:rsidRPr="00447596" w:rsidRDefault="00447596" w:rsidP="00447596">
      <w:pPr>
        <w:shd w:val="clear" w:color="auto" w:fill="FFFFFF"/>
        <w:spacing w:line="420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5D00FC" w:rsidRDefault="005D00FC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Уровень потерь электрической энергии при ее передаче по электрическим сетям определен как минимальное значение из норматива потерь, утвержденного Минэнерго Российской Федерации (приказ от 30.09.2014г. №674) и уровня фактических потерь электрической энергии за последний истекший период.</w:t>
      </w:r>
      <w:r w:rsidRPr="005D00F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>Уровень потерь электрической энергии при ее передаче по электрическим сетям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составил 2 590,98 тыс.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</w:rPr>
        <w:t>. (3,65%</w:t>
      </w:r>
      <w:bookmarkStart w:id="0" w:name="_GoBack"/>
      <w:bookmarkEnd w:id="0"/>
      <w:r>
        <w:rPr>
          <w:rFonts w:ascii="Times New Roman" w:hAnsi="Times New Roman" w:cs="Times New Roman"/>
          <w:color w:val="555555"/>
          <w:sz w:val="28"/>
          <w:szCs w:val="28"/>
        </w:rPr>
        <w:t>).</w:t>
      </w:r>
    </w:p>
    <w:p w:rsidR="00447596" w:rsidRPr="005D00FC" w:rsidRDefault="00447596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447596">
        <w:rPr>
          <w:rFonts w:ascii="Times New Roman" w:hAnsi="Times New Roman" w:cs="Times New Roman"/>
          <w:color w:val="555555"/>
          <w:sz w:val="28"/>
          <w:szCs w:val="28"/>
        </w:rPr>
        <w:t xml:space="preserve">Приказы Министерства энергетики РФ об утверждении нормативов технологических потерь электрической энергии при ее передаче по электрическим сетям официально опубликованы в «Информационном бюллетене Министерства энергетики Российской Федерации» и дополнительно размещены на официальном сайте Минэнерго России: </w:t>
      </w:r>
      <w:hyperlink r:id="rId4" w:history="1">
        <w:r w:rsidRPr="00447596">
          <w:rPr>
            <w:rStyle w:val="a3"/>
            <w:rFonts w:ascii="Times New Roman" w:hAnsi="Times New Roman" w:cs="Times New Roman"/>
            <w:sz w:val="28"/>
            <w:szCs w:val="28"/>
          </w:rPr>
          <w:t>http://minenergo.gov.ru</w:t>
        </w:r>
      </w:hyperlink>
    </w:p>
    <w:sectPr w:rsidR="00447596" w:rsidRPr="005D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A"/>
    <w:rsid w:val="001137AA"/>
    <w:rsid w:val="00447596"/>
    <w:rsid w:val="005D00FC"/>
    <w:rsid w:val="00C427EB"/>
    <w:rsid w:val="00D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9F28-D910-4FC1-AE6E-9F30DD3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596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91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2015-09-28T11:02:00Z</dcterms:created>
  <dcterms:modified xsi:type="dcterms:W3CDTF">2015-09-28T12:14:00Z</dcterms:modified>
</cp:coreProperties>
</file>