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0B" w:rsidRPr="00DD570B" w:rsidRDefault="00DD570B" w:rsidP="00DD5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МИНИСТЕРСТВО ЭКОНОМИЧЕСКОГО РАЗВИТИЯ</w:t>
      </w:r>
    </w:p>
    <w:p w:rsidR="00DD570B" w:rsidRPr="00DD570B" w:rsidRDefault="00DD570B" w:rsidP="00DD5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УЛЬЯНОВСКОЙ ОБЛАСТИ</w:t>
      </w:r>
    </w:p>
    <w:p w:rsidR="00DD570B" w:rsidRPr="00DD570B" w:rsidRDefault="00DD570B" w:rsidP="00DD5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П</w:t>
      </w:r>
      <w:proofErr w:type="gramEnd"/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 Р И К А З  </w:t>
      </w:r>
    </w:p>
    <w:p w:rsidR="00DD570B" w:rsidRPr="00DD570B" w:rsidRDefault="00DD570B" w:rsidP="00DD57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22 декабря 2014 г.                                                                                          № 06-942</w:t>
      </w:r>
    </w:p>
    <w:p w:rsidR="00DD570B" w:rsidRPr="00DD570B" w:rsidRDefault="00DD570B" w:rsidP="00DD57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г. Ульяновск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right="98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right="9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right="98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 утверждении стандартизированных ставок, ставок за единицу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максимальной мощности, формул платы за технологическое присоединение к электрическим сетям Общества с ограниченной ответственностью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«</w:t>
      </w:r>
      <w:proofErr w:type="spell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ЭнергоХолдинг</w:t>
      </w:r>
      <w:proofErr w:type="spellEnd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» на 2015 год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постановлением Правительства Российской Федерации от 27.12.2004                    № 861 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</w:t>
      </w:r>
      <w:proofErr w:type="gram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</w:t>
      </w:r>
      <w:proofErr w:type="gram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этих услуг, Правил недискриминационного доступа к услугам администратора торговой системы оптового рынка и оказания этих услуг и 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 xml:space="preserve">Правил технологического присоединения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, приказом Федеральной службы по тарифам от 11.09.2012 № 209-э/1 «Об утверждении Методических указаний по определению размера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платы за технологическое присоединение к электрическим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сетям»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,</w:t>
      </w:r>
      <w:r w:rsidRPr="00DD57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 п р и к а з ы в а ю: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1. Утвердить на период </w:t>
      </w:r>
      <w:r w:rsidRPr="00DD570B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с 01 января 2015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года по 31 декабря 2015 года: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1) стандартизированные тарифные ставки для определения платы за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 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лицам,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 электрическим сетям Общества с ограниченной ответственностью «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ЭнергоХолдинг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» (приложение № 1);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2) ставки за единицу максимальной мощности для определения платы за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 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к электрическим сетям филиала Открытого акционерного общества сетям  Общества с ограниченной ответственностью «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ЭнергоХолдинг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» на уровне напряжения ниже 35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кВ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и максимальной мощности менее 8 900 кВт (приложение № 2);</w:t>
      </w:r>
      <w:proofErr w:type="gramEnd"/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lastRenderedPageBreak/>
        <w:t xml:space="preserve">3) формулы платы за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устройств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потребителей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электрической энергии, объектов электросетевого хозяйства, принадлежащих сетевым организациям и иным лицам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к электрическим сетям Общества с ограниченной ответственностью «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ЭнергоХолдинг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» (приложение № 3).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2. Установить, что размеры платы за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 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к электрическим сетям Общества с ограниченной ответственностью «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ЭнергоХолдинг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» (далее –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устройств) определяются: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2.1. 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Для заявителя, подавшего заявку в целях технологического присоединения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мощностью, не превышающей 15 кВт включительно (с учётом ранее присоединённой в данной точке присоединения мощности), при присоединении объектов, отнесённых к третьей категории надёжности (по одному источнику электроснабжения) при условии, 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кВ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включительно необходимого заявителю класса</w:t>
      </w:r>
      <w:proofErr w:type="gram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напряжения сетевой организации, в которую подана заявка, составляет не более 300 метров в городах и посёлках городского типа и не более 500 метров в сельской местности – в размере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550 рублей (с учётом НДС).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 </w:t>
      </w:r>
      <w:proofErr w:type="gram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В границах муниципальных районов, городских округов одно и то же лицо может осуществить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устройств, принадлежащих ему на праве собственности или на ином законном основании, 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>соответствующих критериям, указанным выше, с платой за технологическое присоединение – в размере, не превышающем 550 рублей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, не более одного раза в течение 3 лет.</w:t>
      </w:r>
      <w:proofErr w:type="gramEnd"/>
    </w:p>
    <w:p w:rsidR="00DD570B" w:rsidRPr="00DD570B" w:rsidRDefault="00DD570B" w:rsidP="00DD57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2.2. </w:t>
      </w:r>
      <w:proofErr w:type="gram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отношении садоводческих, огороднических, дачных некоммерческих объединений и иных некоммерческих объединений (гаражно-строительных, гаражных кооперативов) – в размере 550 рублей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, умноженных на количество членов этих объединений, при условии присоединения каждым членом такого объединения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при присоединении к электрическим</w:t>
      </w:r>
      <w:proofErr w:type="gram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сетям сетевой организации на уровне напряжения до 20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кВ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включительно и нахождения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указанных объединений на расстоянии не более 300 метров в городах и посёлках городского типа и не более 500 метров в сельской местности до существующих объектов электросетевого хозяйства сетевых организаций.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2.3. </w:t>
      </w:r>
      <w:proofErr w:type="gram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В отношении граждан, объединивших свои гаражи и хозяйственные постройки (погреба, сараи) – в размере 550 рублей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НДС),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 при условии присоединения каждым собственником этих построек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кВ</w:t>
      </w:r>
      <w:proofErr w:type="spellEnd"/>
      <w:proofErr w:type="gram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включительно и нахождения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указанных объединённых построек на расстоянии не более 300 метров в городах и посёлках городского типа и не более 500 метров в сельской местности до существующих объектов электросетевого хозяйства сетевых организаций.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lastRenderedPageBreak/>
        <w:t xml:space="preserve">2.4. </w:t>
      </w:r>
      <w:proofErr w:type="gram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За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религиозных организаций – в размере 550 рублей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(с учётом НДС), </w:t>
      </w: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при условии присоединения не более 15 кВт по третьей категории надёжности (по одному источнику электроснабжения) с учётом ранее присоединённых в данной точке присоединения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кВ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включительно и нахождения </w:t>
      </w:r>
      <w:proofErr w:type="spell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устройств таких организаций на</w:t>
      </w:r>
      <w:proofErr w:type="gram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</w:t>
      </w:r>
      <w:proofErr w:type="gramStart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расстоянии</w:t>
      </w:r>
      <w:proofErr w:type="gramEnd"/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 xml:space="preserve"> не более 300 метров в городах и посёлках городского типа и не более 500 метров в сельской местности до существующих объектов электросетевого хозяйства сетевых организаций.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1A1818"/>
          <w:sz w:val="36"/>
          <w:szCs w:val="36"/>
          <w:lang w:eastAsia="ru-RU"/>
        </w:rPr>
        <w:t>3. 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Размер экономически обоснованной платы за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мощностью, не превышающей 15 к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Вт вкл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ючительно (с учётом ранее присоединённой в данной точке присоединения мощно</w:t>
      </w:r>
      <w:r w:rsidRPr="00DD570B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сти) без инвестиционной составляющей: 447,05</w:t>
      </w:r>
      <w:r w:rsidRPr="00DD570B">
        <w:rPr>
          <w:rFonts w:ascii="Times New Roman" w:eastAsia="Times New Roman" w:hAnsi="Times New Roman" w:cs="Times New Roman"/>
          <w:color w:val="FF0000"/>
          <w:spacing w:val="-6"/>
          <w:sz w:val="36"/>
          <w:szCs w:val="36"/>
          <w:lang w:eastAsia="ru-RU"/>
        </w:rPr>
        <w:t> </w:t>
      </w:r>
      <w:r w:rsidRPr="00DD570B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руб./кВт.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 Выпадающие доходы от осуществления технологического присоединения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мощностью, не превышающей 15 к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Вт вкл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ючительно: отсутствуют</w:t>
      </w:r>
      <w:r w:rsidRPr="00DD570B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.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 Выпадающие доходы от выплаты процентов по кредитным договорам, связанным с рассрочкой по оплате субъектами малого и среднего предпринимательства технологического присоединения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максимальной мощностью свыше 15 кВт и до 150 кВт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включительно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:</w:t>
      </w:r>
      <w:r w:rsidRPr="00DD570B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о</w:t>
      </w:r>
      <w:proofErr w:type="gramEnd"/>
      <w:r w:rsidRPr="00DD570B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тсутствуют</w:t>
      </w:r>
      <w:proofErr w:type="spellEnd"/>
      <w:r w:rsidRPr="00DD570B">
        <w:rPr>
          <w:rFonts w:ascii="Times New Roman" w:eastAsia="Times New Roman" w:hAnsi="Times New Roman" w:cs="Times New Roman"/>
          <w:color w:val="1A1818"/>
          <w:spacing w:val="-6"/>
          <w:sz w:val="36"/>
          <w:szCs w:val="36"/>
          <w:lang w:eastAsia="ru-RU"/>
        </w:rPr>
        <w:t>.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lastRenderedPageBreak/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                О.В.Асмус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br/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1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 приказу Министерства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экономического развития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Ульяновской области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90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 22 декабря 2014 г. № 06-942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СТАНДАРТИЗИРОВАННЫЕ ТАРИФНЫЕ СТАВКИ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для определения платы за технологическое присоединение</w:t>
      </w:r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 </w:t>
      </w:r>
      <w:proofErr w:type="spellStart"/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 устройств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потребителей электрической энергии, объектов электросетевого хозяйства,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>принадлежащих</w:t>
      </w:r>
      <w:proofErr w:type="gramEnd"/>
      <w:r w:rsidRPr="00DD570B">
        <w:rPr>
          <w:rFonts w:ascii="Times New Roman" w:eastAsia="Times New Roman" w:hAnsi="Times New Roman" w:cs="Times New Roman"/>
          <w:b/>
          <w:bCs/>
          <w:color w:val="1A1818"/>
          <w:sz w:val="36"/>
          <w:szCs w:val="36"/>
          <w:lang w:eastAsia="ru-RU"/>
        </w:rPr>
        <w:t xml:space="preserve"> сетевым организациям и иным лицам,</w:t>
      </w: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 к электрическим сетям</w:t>
      </w:r>
    </w:p>
    <w:p w:rsidR="00DD570B" w:rsidRPr="00DD570B" w:rsidRDefault="00DD570B" w:rsidP="00DD570B">
      <w:pPr>
        <w:shd w:val="clear" w:color="auto" w:fill="FFFFFF"/>
        <w:spacing w:after="0" w:line="240" w:lineRule="auto"/>
        <w:ind w:right="96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Общества с ограниченной ответственностью «</w:t>
      </w:r>
      <w:proofErr w:type="spell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ЭнергоХолдинг</w:t>
      </w:r>
      <w:proofErr w:type="spellEnd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»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 </w:t>
      </w:r>
    </w:p>
    <w:tbl>
      <w:tblPr>
        <w:tblW w:w="15510" w:type="dxa"/>
        <w:jc w:val="center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9289"/>
        <w:gridCol w:w="1493"/>
        <w:gridCol w:w="1549"/>
        <w:gridCol w:w="2504"/>
      </w:tblGrid>
      <w:tr w:rsidR="00DD570B" w:rsidRPr="00DD570B" w:rsidTr="00DD570B">
        <w:trPr>
          <w:trHeight w:val="860"/>
          <w:jc w:val="center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9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Перечень 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стандартизированных</w:t>
            </w:r>
            <w:proofErr w:type="gramEnd"/>
          </w:p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тарифных ставок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Уровень напряжения</w:t>
            </w:r>
          </w:p>
        </w:tc>
        <w:tc>
          <w:tcPr>
            <w:tcW w:w="3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Стандартизированная</w:t>
            </w:r>
          </w:p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тарифная ставка</w:t>
            </w:r>
          </w:p>
        </w:tc>
      </w:tr>
      <w:tr w:rsidR="00DD570B" w:rsidRPr="00DD570B" w:rsidTr="00DD570B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размер стандартизированной тарифной ставки</w:t>
            </w:r>
          </w:p>
        </w:tc>
      </w:tr>
      <w:tr w:rsidR="00DD570B" w:rsidRPr="00DD570B" w:rsidTr="00DD570B">
        <w:trPr>
          <w:trHeight w:val="26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5</w:t>
            </w:r>
          </w:p>
        </w:tc>
      </w:tr>
      <w:tr w:rsidR="00DD570B" w:rsidRPr="00DD570B" w:rsidTr="00DD570B">
        <w:trPr>
          <w:trHeight w:val="7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, 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энергопринимающих</w:t>
            </w:r>
            <w:proofErr w:type="spell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</w:t>
            </w:r>
            <w:hyperlink r:id="rId6" w:history="1">
              <w:r w:rsidRPr="00DD570B">
                <w:rPr>
                  <w:rFonts w:ascii="Times New Roman" w:eastAsia="Times New Roman" w:hAnsi="Times New Roman" w:cs="Times New Roman"/>
                  <w:color w:val="000000"/>
                  <w:spacing w:val="-6"/>
                  <w:sz w:val="26"/>
                  <w:szCs w:val="26"/>
                  <w:u w:val="single"/>
                  <w:lang w:eastAsia="ru-RU"/>
                </w:rPr>
                <w:t> пункте 1</w:t>
              </w:r>
            </w:hyperlink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6 Методических указаний по определению размера платы за технологическое присоединение к электрическим сетям, утверждённых приказом ФСТ России от 11.09.2012 № 209-э/1 (кроме подпунктов «б» и «в»)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руб./кВт</w:t>
            </w:r>
          </w:p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(в текущих ценах, без учёта 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447,05</w:t>
            </w:r>
          </w:p>
        </w:tc>
      </w:tr>
      <w:tr w:rsidR="00DD570B" w:rsidRPr="00DD570B" w:rsidTr="00DD570B">
        <w:trPr>
          <w:trHeight w:val="7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.1,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228,03</w:t>
            </w:r>
          </w:p>
        </w:tc>
      </w:tr>
      <w:tr w:rsidR="00DD570B" w:rsidRPr="00DD570B" w:rsidTr="00DD570B">
        <w:trPr>
          <w:trHeight w:val="7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.2, 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130,52</w:t>
            </w:r>
          </w:p>
        </w:tc>
      </w:tr>
      <w:tr w:rsidR="00DD570B" w:rsidRPr="00DD570B" w:rsidTr="00DD570B">
        <w:trPr>
          <w:trHeight w:val="7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.3, </w:t>
            </w: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63,16</w:t>
            </w:r>
          </w:p>
        </w:tc>
      </w:tr>
      <w:tr w:rsidR="00DD570B" w:rsidRPr="00DD570B" w:rsidTr="00DD570B">
        <w:trPr>
          <w:trHeight w:val="7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1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.4, </w:t>
            </w: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25,34</w:t>
            </w:r>
          </w:p>
        </w:tc>
      </w:tr>
      <w:tr w:rsidR="00DD570B" w:rsidRPr="00DD570B" w:rsidTr="00DD570B">
        <w:trPr>
          <w:trHeight w:val="85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2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стандартизированная тарифная ставка на покрытие расходов сетевой организации на строительство воздушных линий электропередачи (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ВЛ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):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км</w:t>
            </w:r>
            <w:proofErr w:type="gramEnd"/>
          </w:p>
          <w:p w:rsidR="00DD570B" w:rsidRPr="00DD570B" w:rsidRDefault="00DD570B" w:rsidP="00DD570B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(в ценах 2001 года, без учёта 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</w:p>
        </w:tc>
      </w:tr>
      <w:tr w:rsidR="00DD570B" w:rsidRPr="00DD570B" w:rsidTr="00DD570B">
        <w:trPr>
          <w:trHeight w:val="15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5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сечением до 70 мм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НН (0,4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и ниже)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410 487,47</w:t>
            </w:r>
          </w:p>
        </w:tc>
      </w:tr>
      <w:tr w:rsidR="00DD570B" w:rsidRPr="00DD570B" w:rsidTr="00DD570B">
        <w:trPr>
          <w:trHeight w:val="15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5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сечением свыше 70 мм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5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417 571,93</w:t>
            </w:r>
          </w:p>
        </w:tc>
      </w:tr>
      <w:tr w:rsidR="00DD570B" w:rsidRPr="00DD570B" w:rsidTr="00DD570B">
        <w:trPr>
          <w:trHeight w:val="7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сечением до 70 мм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СН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419 771,66</w:t>
            </w:r>
          </w:p>
        </w:tc>
      </w:tr>
      <w:tr w:rsidR="00DD570B" w:rsidRPr="00DD570B" w:rsidTr="00DD570B">
        <w:trPr>
          <w:trHeight w:val="70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сечением свыше 70 мм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412 959,67</w:t>
            </w:r>
          </w:p>
        </w:tc>
      </w:tr>
      <w:tr w:rsidR="00DD570B" w:rsidRPr="00DD570B" w:rsidTr="00DD570B">
        <w:trPr>
          <w:trHeight w:val="437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3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, стандартизированная тарифная ставка на покрытие расходов сетевой организации на строительство кабельных линий электропередачи (КЛ):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км</w:t>
            </w:r>
            <w:proofErr w:type="gramEnd"/>
          </w:p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(в ценах 2001 года, без учёта 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х</w:t>
            </w:r>
          </w:p>
        </w:tc>
      </w:tr>
      <w:tr w:rsidR="00DD570B" w:rsidRPr="00DD570B" w:rsidTr="00DD570B">
        <w:trPr>
          <w:trHeight w:val="27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КЛ, АСБ сечением до 120 мм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НН (0,4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и ниже)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874 557,18</w:t>
            </w:r>
          </w:p>
        </w:tc>
      </w:tr>
      <w:tr w:rsidR="00DD570B" w:rsidRPr="00DD570B" w:rsidTr="00DD570B">
        <w:trPr>
          <w:trHeight w:val="27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КЛ, АСБ сечением свыше 120 мм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873 364,81</w:t>
            </w:r>
          </w:p>
        </w:tc>
      </w:tr>
      <w:tr w:rsidR="00DD570B" w:rsidRPr="00DD570B" w:rsidTr="00DD570B">
        <w:trPr>
          <w:trHeight w:val="343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КЛ, АСБ сечением до 120 мм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СН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(20-1кВ)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875 484,95</w:t>
            </w:r>
          </w:p>
        </w:tc>
      </w:tr>
      <w:tr w:rsidR="00DD570B" w:rsidRPr="00DD570B" w:rsidTr="00DD570B">
        <w:trPr>
          <w:trHeight w:val="419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КЛ, АСБ сечением свыше 120 мм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898 964,35</w:t>
            </w:r>
          </w:p>
        </w:tc>
      </w:tr>
      <w:tr w:rsidR="00DD570B" w:rsidRPr="00DD570B" w:rsidTr="00DD570B">
        <w:trPr>
          <w:trHeight w:val="22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bscript"/>
                <w:lang w:eastAsia="ru-RU"/>
              </w:rPr>
              <w:t>4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, стандартизированная тарифная ставка на покрытие расходов сетевой организации на строительство комплектных трансформаторных подстанций (КТП), распределительных трансформаторных подстанций (РТП) с классом напряжения до 35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руб./кВт</w:t>
            </w:r>
          </w:p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(в ценах 2001 года, без учёта НДС)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</w:p>
        </w:tc>
      </w:tr>
      <w:tr w:rsidR="00DD570B" w:rsidRPr="00DD570B" w:rsidTr="00DD570B">
        <w:trPr>
          <w:trHeight w:val="22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 xml:space="preserve">с максимальной мощностью 250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1 410,78</w:t>
            </w:r>
          </w:p>
        </w:tc>
      </w:tr>
      <w:tr w:rsidR="00DD570B" w:rsidRPr="00DD570B" w:rsidTr="00DD570B">
        <w:trPr>
          <w:trHeight w:val="22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 xml:space="preserve">с максимальной мощностью 400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1 092,58</w:t>
            </w:r>
          </w:p>
        </w:tc>
      </w:tr>
      <w:tr w:rsidR="00DD570B" w:rsidRPr="00DD570B" w:rsidTr="00DD570B">
        <w:trPr>
          <w:trHeight w:val="85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8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630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8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742,63</w:t>
            </w:r>
          </w:p>
        </w:tc>
      </w:tr>
      <w:tr w:rsidR="00DD570B" w:rsidRPr="00DD570B" w:rsidTr="00DD570B">
        <w:trPr>
          <w:trHeight w:val="22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1000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728,47</w:t>
            </w:r>
          </w:p>
        </w:tc>
      </w:tr>
      <w:tr w:rsidR="00DD570B" w:rsidRPr="00DD570B" w:rsidTr="00DD570B">
        <w:trPr>
          <w:trHeight w:val="22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2х250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2 307,47</w:t>
            </w:r>
          </w:p>
        </w:tc>
      </w:tr>
      <w:tr w:rsidR="00DD570B" w:rsidRPr="00DD570B" w:rsidTr="00DD570B">
        <w:trPr>
          <w:trHeight w:val="22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2х400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1 712,64</w:t>
            </w:r>
          </w:p>
        </w:tc>
      </w:tr>
      <w:tr w:rsidR="00DD570B" w:rsidRPr="00DD570B" w:rsidTr="00DD570B">
        <w:trPr>
          <w:trHeight w:val="22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2х630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1 303,69</w:t>
            </w:r>
          </w:p>
        </w:tc>
      </w:tr>
      <w:tr w:rsidR="00DD570B" w:rsidRPr="00DD570B" w:rsidTr="00DD570B">
        <w:trPr>
          <w:trHeight w:val="224"/>
          <w:jc w:val="center"/>
        </w:trPr>
        <w:tc>
          <w:tcPr>
            <w:tcW w:w="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9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2х1000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1 038,69</w:t>
            </w:r>
          </w:p>
        </w:tc>
      </w:tr>
    </w:tbl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Примечание: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1. Указанные ставки применяются с учётом индекса изменения сметной стоимости по строительно-монтажным работам для Ульяновской области, данные по которым используются для расчёта, к федеральным единичным расценкам 2001 года, рекомендуемым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2. При применении стандартизированных тарифных ставок для расчёта платы за технологическое присоединение используются показатели, участвующие в расчёте, согласно выданным техническим условиям.</w:t>
      </w:r>
    </w:p>
    <w:p w:rsidR="00DD570B" w:rsidRPr="00DD570B" w:rsidRDefault="00DD570B" w:rsidP="00DD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  <w:lang w:eastAsia="ru-RU"/>
        </w:rPr>
        <w:br/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41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 2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41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41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к приказу Министерства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41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экономического развития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41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Ульяновской области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41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 22 декабря 2014 г. № 06-942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aps/>
          <w:color w:val="000000"/>
          <w:spacing w:val="-6"/>
          <w:sz w:val="36"/>
          <w:szCs w:val="36"/>
          <w:lang w:eastAsia="ru-RU"/>
        </w:rPr>
        <w:t>СТАВКИ </w:t>
      </w: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ЗА ЕДИНИЦУ МАКСИМАЛЬНОЙ МОЩНОСТИ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ставки за единицу максимальной мощности для определения платы </w:t>
      </w:r>
      <w:proofErr w:type="gram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за</w:t>
      </w:r>
      <w:proofErr w:type="gramEnd"/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r w:rsidRPr="00DD570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потребителей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энергии, объектов электросетевого хозяйства, принадлежащих сетевым организациям и иным лицам</w:t>
      </w: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к электрическим сетям филиала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 Открытого акционерного общества сетям  Общества с </w:t>
      </w:r>
      <w:proofErr w:type="gram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ограниченной</w:t>
      </w:r>
      <w:proofErr w:type="gramEnd"/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ответственностью «</w:t>
      </w:r>
      <w:proofErr w:type="spell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ЭнергоХолдинг</w:t>
      </w:r>
      <w:proofErr w:type="spellEnd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» на уровне напряжения ниже 35 </w:t>
      </w:r>
      <w:proofErr w:type="spell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кВ</w:t>
      </w:r>
      <w:proofErr w:type="spellEnd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и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максимальной мощности менее 8 900 кВт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949"/>
        <w:gridCol w:w="1700"/>
        <w:gridCol w:w="1699"/>
      </w:tblGrid>
      <w:tr w:rsidR="00DD570B" w:rsidRPr="00DD570B" w:rsidTr="00DD570B">
        <w:trPr>
          <w:cantSplit/>
          <w:trHeight w:val="11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№</w:t>
            </w:r>
          </w:p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34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Ставки для расчёта</w:t>
            </w:r>
          </w:p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платы по каждому</w:t>
            </w:r>
          </w:p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мероприятию</w:t>
            </w:r>
          </w:p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(руб./кВт без учёта НДС)</w:t>
            </w:r>
          </w:p>
        </w:tc>
      </w:tr>
      <w:tr w:rsidR="00DD570B" w:rsidRPr="00DD570B" w:rsidTr="00DD570B">
        <w:trPr>
          <w:cantSplit/>
          <w:trHeight w:val="6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НН (0,4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и ниже)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СН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(20-1кВ)</w:t>
            </w:r>
          </w:p>
        </w:tc>
      </w:tr>
      <w:tr w:rsidR="00DD570B" w:rsidRPr="00DD570B" w:rsidTr="00DD570B">
        <w:trPr>
          <w:cantSplit/>
          <w:trHeight w:val="2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</w:t>
            </w:r>
          </w:p>
        </w:tc>
      </w:tr>
      <w:tr w:rsidR="00DD570B" w:rsidRPr="00DD570B" w:rsidTr="00DD570B">
        <w:trPr>
          <w:cantSplit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228,03</w:t>
            </w:r>
          </w:p>
        </w:tc>
      </w:tr>
      <w:tr w:rsidR="00DD570B" w:rsidRPr="00DD570B" w:rsidTr="00DD570B">
        <w:trPr>
          <w:cantSplit/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</w:tr>
      <w:tr w:rsidR="00DD570B" w:rsidRPr="00DD570B" w:rsidTr="00DD570B">
        <w:trPr>
          <w:cantSplit/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Выполнение сетевой организацией, мероприятий, связанных со строительством «последней мили»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</w:tr>
      <w:tr w:rsidR="00DD570B" w:rsidRPr="00DD570B" w:rsidTr="00DD570B">
        <w:trPr>
          <w:cantSplit/>
          <w:trHeight w:val="2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lastRenderedPageBreak/>
              <w:t>3.1.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воздушных линий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</w:tr>
      <w:tr w:rsidR="00DD570B" w:rsidRPr="00DD570B" w:rsidTr="00DD570B">
        <w:trPr>
          <w:cantSplit/>
          <w:trHeight w:val="2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сечением свыше 70 мм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6 136,35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6 275,13</w:t>
            </w:r>
          </w:p>
        </w:tc>
      </w:tr>
      <w:tr w:rsidR="00DD570B" w:rsidRPr="00DD570B" w:rsidTr="00DD570B">
        <w:trPr>
          <w:cantSplit/>
          <w:trHeight w:val="25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</w:t>
            </w:r>
            <w:proofErr w:type="gramEnd"/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СИП сечением до 70 мм</w:t>
            </w: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6 242,25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6 173,30</w:t>
            </w:r>
          </w:p>
        </w:tc>
      </w:tr>
      <w:tr w:rsidR="00DD570B" w:rsidRPr="00DD570B" w:rsidTr="00DD570B">
        <w:trPr>
          <w:cantSplit/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кабельных линий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Х</w:t>
            </w:r>
          </w:p>
        </w:tc>
      </w:tr>
      <w:tr w:rsidR="00DD570B" w:rsidRPr="00DD570B" w:rsidTr="00DD570B">
        <w:trPr>
          <w:cantSplit/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КЛ, АСБ сечением до 120 мм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14 393,24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14 408,51</w:t>
            </w:r>
          </w:p>
        </w:tc>
      </w:tr>
      <w:tr w:rsidR="00DD570B" w:rsidRPr="00DD570B" w:rsidTr="00DD570B">
        <w:trPr>
          <w:cantSplit/>
          <w:trHeight w:val="2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3.2.2.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строительство КЛ, АСБ сечением свыше 120 мм</w:t>
            </w:r>
            <w:proofErr w:type="gram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14 373,62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14 794,93</w:t>
            </w:r>
          </w:p>
        </w:tc>
      </w:tr>
      <w:tr w:rsidR="00DD570B" w:rsidRPr="00DD570B" w:rsidTr="00DD570B">
        <w:trPr>
          <w:cantSplit/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строительство комплектных трансформаторных подстанций (КТП), распределительных трансформаторных подстанций (РТП) с уровнем напряжения до 35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 </w:t>
            </w:r>
          </w:p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</w:p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Х</w:t>
            </w:r>
          </w:p>
        </w:tc>
      </w:tr>
      <w:tr w:rsidR="00DD570B" w:rsidRPr="00DD570B" w:rsidTr="00DD570B">
        <w:trPr>
          <w:cantSplit/>
          <w:trHeight w:val="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 xml:space="preserve">с максимальной мощностью 250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8 351,79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8 351,79</w:t>
            </w:r>
          </w:p>
        </w:tc>
      </w:tr>
      <w:tr w:rsidR="00DD570B" w:rsidRPr="00DD570B" w:rsidTr="00DD570B">
        <w:trPr>
          <w:cantSplit/>
          <w:trHeight w:val="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 xml:space="preserve">с максимальной мощностью 400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6 468,10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6 468,10</w:t>
            </w:r>
          </w:p>
        </w:tc>
      </w:tr>
      <w:tr w:rsidR="00DD570B" w:rsidRPr="00DD570B" w:rsidTr="00DD570B">
        <w:trPr>
          <w:cantSplit/>
          <w:trHeight w:val="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630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4 396,35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4 396,35</w:t>
            </w:r>
          </w:p>
        </w:tc>
      </w:tr>
      <w:tr w:rsidR="00DD570B" w:rsidRPr="00DD570B" w:rsidTr="00DD570B">
        <w:trPr>
          <w:cantSplit/>
          <w:trHeight w:val="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1000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4 312,51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4 312,51</w:t>
            </w:r>
          </w:p>
        </w:tc>
      </w:tr>
      <w:tr w:rsidR="00DD570B" w:rsidRPr="00DD570B" w:rsidTr="00DD570B">
        <w:trPr>
          <w:cantSplit/>
          <w:trHeight w:val="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2х250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13 660,25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13 660,25</w:t>
            </w:r>
          </w:p>
        </w:tc>
      </w:tr>
      <w:tr w:rsidR="00DD570B" w:rsidRPr="00DD570B" w:rsidTr="00DD570B">
        <w:trPr>
          <w:cantSplit/>
          <w:trHeight w:val="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2х400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10 138,80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10 138,80</w:t>
            </w:r>
          </w:p>
        </w:tc>
      </w:tr>
      <w:tr w:rsidR="00DD570B" w:rsidRPr="00DD570B" w:rsidTr="00DD570B">
        <w:trPr>
          <w:cantSplit/>
          <w:trHeight w:val="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3.3.7.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2х630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7 717,84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7 717,84</w:t>
            </w:r>
          </w:p>
        </w:tc>
      </w:tr>
      <w:tr w:rsidR="00DD570B" w:rsidRPr="00DD570B" w:rsidTr="00DD570B">
        <w:trPr>
          <w:cantSplit/>
          <w:trHeight w:val="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3.3.8.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 xml:space="preserve">с максимальной мощностью 2х1000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1A1818"/>
                <w:spacing w:val="-6"/>
                <w:sz w:val="26"/>
                <w:szCs w:val="26"/>
                <w:lang w:eastAsia="ru-RU"/>
              </w:rPr>
              <w:t>кВА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6 149,02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65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6 149,02</w:t>
            </w:r>
          </w:p>
        </w:tc>
      </w:tr>
      <w:tr w:rsidR="00DD570B" w:rsidRPr="00DD570B" w:rsidTr="00DD570B">
        <w:trPr>
          <w:cantSplit/>
          <w:trHeight w:val="2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130,52</w:t>
            </w:r>
          </w:p>
        </w:tc>
      </w:tr>
      <w:tr w:rsidR="00DD570B" w:rsidRPr="00DD570B" w:rsidTr="00DD570B">
        <w:trPr>
          <w:cantSplit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Участие в осмотре должностным лицом </w:t>
            </w:r>
            <w:proofErr w:type="spellStart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Ростехнадзора</w:t>
            </w:r>
            <w:proofErr w:type="spellEnd"/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 xml:space="preserve"> присоединяемых Устройств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 </w:t>
            </w:r>
          </w:p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63,16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 </w:t>
            </w:r>
          </w:p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1A1818"/>
                <w:sz w:val="26"/>
                <w:szCs w:val="26"/>
                <w:lang w:eastAsia="ru-RU"/>
              </w:rPr>
              <w:t>63,16</w:t>
            </w:r>
          </w:p>
        </w:tc>
      </w:tr>
      <w:tr w:rsidR="00DD570B" w:rsidRPr="00DD570B" w:rsidTr="00DD570B">
        <w:trPr>
          <w:cantSplit/>
          <w:trHeight w:val="3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171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570B" w:rsidRPr="00DD570B" w:rsidRDefault="00DD570B" w:rsidP="00DD57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DD57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25,34</w:t>
            </w:r>
          </w:p>
        </w:tc>
      </w:tr>
    </w:tbl>
    <w:p w:rsidR="00DD570B" w:rsidRPr="00DD570B" w:rsidRDefault="00DD570B" w:rsidP="00DD570B">
      <w:pPr>
        <w:shd w:val="clear" w:color="auto" w:fill="FFFFFF"/>
        <w:spacing w:after="0" w:line="171" w:lineRule="atLeast"/>
        <w:ind w:left="4140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Примечание: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Размер платы за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 xml:space="preserve"> устройств определяется с учётом запрашиваемой заявителем категории надёжности электроснабжения в 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lastRenderedPageBreak/>
        <w:t>соответствии с Методическими указаниями по определению размера платы за технологическое присоединение к электрическим сетям, утверждёнными приказом ФСТ России  от 11.09.2012 № 209-э/1«Об утверждении Методических указаний по определению размера платы за технологическое присоединение к электрическим сетям».</w:t>
      </w:r>
      <w:proofErr w:type="gramEnd"/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________________________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br/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ПРИЛОЖЕНИЕ № 3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 приказу Министерства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экономического развития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Ульяновской области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от 22 декабря 2014 г. № 06-942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left="50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ru-RU"/>
        </w:rPr>
        <w:t>ФОРМУЛЫ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платы за технологическое присоединение </w:t>
      </w:r>
      <w:proofErr w:type="spell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энергопринимающих</w:t>
      </w:r>
      <w:proofErr w:type="spellEnd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устройств </w:t>
      </w:r>
      <w:r w:rsidRPr="00DD570B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потребителей электрической энергии, объектов электросетевого хозяйства, принадлежащих сетевым организациям и иным лицам</w:t>
      </w: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  <w:proofErr w:type="gram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к</w:t>
      </w:r>
      <w:proofErr w:type="gramEnd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 электрическим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сетям Общества с ограниченной ответственностью «</w:t>
      </w:r>
      <w:proofErr w:type="spellStart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ЭнергоХолдинг</w:t>
      </w:r>
      <w:proofErr w:type="spellEnd"/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»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1.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 Заявителя, при котором отсутствует необходимость реализации мероприятий «последней мили», рассчитывается по формуле: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= (C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(руб.),                                                                                                (1)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где:                                                                                         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– плата за технологическое присоединение;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стандартизированная тарифная ставка, согласно приложению № 1 к настоящему приказу;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– объём максимальной мощности, указанный в заявке на технологическое присоединение Заявителем (кВт).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(или)  кабельных линий рассчитывается по формуле: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= (C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2i и (или) 3i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L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(руб.),                                                   (2)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где:                                             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– плата за технологическое присоединение;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1,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2i или 3i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стандартизированные тарифные ставки на соответствующем уровне напряжения, согласно приложению № 1 к настоящему приказу;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–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L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суммарная протяжённость воздушных и (или) кабельных линий на i-том уровне напряжения, строительство которых предусмотрено согласно выданных технических условий для технологического присоединения (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км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).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3.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на строительство центров питания, подстанций уровнем напряжения 35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выше (ПС) рассчитывается по формуле: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= (C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(руб.),                                                             (3)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где:                                                        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 xml:space="preserve"> -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– 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плата за технологическое присоединение;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1,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4 i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стандартизированные тарифные ставки, согласно приложению № 1 к настоящему приказу;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объём максимальной мощности, указанный в заявке на технологическое присоединение Заявителем (кВт);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Z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–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4.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14"/>
          <w:szCs w:val="14"/>
          <w:lang w:eastAsia="ru-RU"/>
        </w:rPr>
        <w:t>  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Плата за технологическое присоединение Заявителя, при реализации которого согласно техническим условиям, предусматриваются мероприятия «последней мили» по прокладке воздушных и (или)  кабельных линий и строительству комплектных трансформаторных подстанций (КТП), распределительных трансформаторных подстанций (РТП) с уровнем напряжения до 35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на строительство центров питания, подстанций уровнем напряжения 35 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кВ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и выше (ПС) рассчитывается по формуле:</w:t>
      </w:r>
      <w:proofErr w:type="gramEnd"/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= (C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2i или 3i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L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+ (C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4i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× </w:t>
      </w: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изм.ст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), (руб.),                    (4)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где: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ТП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– плата за технологическое присоединение;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1 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 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2i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 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3i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C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4i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– стандартизированные тарифные ставки, согласно приложению № 2 к настоящему приказу;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L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 – суммарная протяжённость воздушных и (или) кабельных линий на i-том классе напряжения, строительство которых предусмотрено согласно выданных технических условий для технологического присоединения (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км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ru-RU"/>
        </w:rPr>
        <w:t>);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N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i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– объём максимальной мощности, указанный в заявке на технологическое присоединение Заявителем (кВт);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spell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Z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изм</w:t>
      </w:r>
      <w:proofErr w:type="gramStart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.с</w:t>
      </w:r>
      <w:proofErr w:type="gram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т</w:t>
      </w:r>
      <w:proofErr w:type="spellEnd"/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vertAlign w:val="subscript"/>
          <w:lang w:eastAsia="ru-RU"/>
        </w:rPr>
        <w:t> </w:t>
      </w: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 – индекс изменения сметной стоимости по строительно-монтажным работам для Ульяновской области на квартал, предшествующий кварталу, в котором рассчитывается плата за технологическое присоединение к федеральным единичным расценкам 2001 года, рекомендуемый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деятельности.</w:t>
      </w:r>
    </w:p>
    <w:p w:rsidR="00DD570B" w:rsidRPr="00DD570B" w:rsidRDefault="00DD570B" w:rsidP="00DD570B">
      <w:pPr>
        <w:shd w:val="clear" w:color="auto" w:fill="FFFFFF"/>
        <w:spacing w:after="0" w:line="171" w:lineRule="atLeast"/>
        <w:ind w:firstLine="567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DD570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_____________________________</w:t>
      </w:r>
    </w:p>
    <w:p w:rsidR="00D9516B" w:rsidRDefault="00DD570B">
      <w:bookmarkStart w:id="0" w:name="_GoBack"/>
      <w:bookmarkEnd w:id="0"/>
    </w:p>
    <w:sectPr w:rsidR="00D9516B" w:rsidSect="00DD57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EB"/>
    <w:rsid w:val="000927DA"/>
    <w:rsid w:val="00A76664"/>
    <w:rsid w:val="00DD570B"/>
    <w:rsid w:val="00F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70B"/>
    <w:rPr>
      <w:b/>
      <w:bCs/>
    </w:rPr>
  </w:style>
  <w:style w:type="character" w:customStyle="1" w:styleId="apple-converted-space">
    <w:name w:val="apple-converted-space"/>
    <w:basedOn w:val="a0"/>
    <w:rsid w:val="00DD570B"/>
  </w:style>
  <w:style w:type="character" w:styleId="a5">
    <w:name w:val="Hyperlink"/>
    <w:basedOn w:val="a0"/>
    <w:uiPriority w:val="99"/>
    <w:semiHidden/>
    <w:unhideWhenUsed/>
    <w:rsid w:val="00DD57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70B"/>
    <w:rPr>
      <w:b/>
      <w:bCs/>
    </w:rPr>
  </w:style>
  <w:style w:type="character" w:customStyle="1" w:styleId="apple-converted-space">
    <w:name w:val="apple-converted-space"/>
    <w:basedOn w:val="a0"/>
    <w:rsid w:val="00DD570B"/>
  </w:style>
  <w:style w:type="character" w:styleId="a5">
    <w:name w:val="Hyperlink"/>
    <w:basedOn w:val="a0"/>
    <w:uiPriority w:val="99"/>
    <w:semiHidden/>
    <w:unhideWhenUsed/>
    <w:rsid w:val="00DD5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515CFEDAF7846842CA27DD3B139D369D5CA5550F96D3C6F9038B6F24F38D604BC9C43D26FB8F3AuDr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E24B-4E45-46E7-AC72-097742C3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2916</Words>
  <Characters>16625</Characters>
  <Application>Microsoft Office Word</Application>
  <DocSecurity>0</DocSecurity>
  <Lines>138</Lines>
  <Paragraphs>39</Paragraphs>
  <ScaleCrop>false</ScaleCrop>
  <Company/>
  <LinksUpToDate>false</LinksUpToDate>
  <CharactersWithSpaces>19502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2015-02-24T11:39:00Z</dcterms:created>
  <dcterms:modified xsi:type="dcterms:W3CDTF">2015-02-24T11:40:00Z</dcterms:modified>
</cp:coreProperties>
</file>